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28"/>
          <w:szCs w:val="28"/>
          <w:rtl w:val="0"/>
        </w:rPr>
        <w:t xml:space="preserve">Nervous System Packet o’ Knowledge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148263" cy="2033564"/>
            <wp:effectExtent b="0" l="0" r="0" t="0"/>
            <wp:docPr descr="http://www.clker.com/cliparts/S/1/S/E/w/n/label-the-neuron-hi.png" id="6" name="image12.png"/>
            <a:graphic>
              <a:graphicData uri="http://schemas.openxmlformats.org/drawingml/2006/picture">
                <pic:pic>
                  <pic:nvPicPr>
                    <pic:cNvPr descr="http://www.clker.com/cliparts/S/1/S/E/w/n/label-the-neuron-hi.png" id="0" name="image1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033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Label the axon terminals, nodes of Ranvier, dendrite, myelin, cell body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933825" cy="2948263"/>
            <wp:effectExtent b="0" l="0" r="0" t="0"/>
            <wp:docPr descr="http://faculty.southwest.tn.edu/rburkett/A&amp;P1_N29.jpg" id="1" name="image01.jpg"/>
            <a:graphic>
              <a:graphicData uri="http://schemas.openxmlformats.org/drawingml/2006/picture">
                <pic:pic>
                  <pic:nvPicPr>
                    <pic:cNvPr descr="http://faculty.southwest.tn.edu/rburkett/A&amp;P1_N29.jpg" id="0" name="image0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48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Label the interneuron, effector, receptor, motor neuron, sensory neuron, grey matter, white matter, ventral root and dorsal root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3186113" cy="2601992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601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6562725" cy="3087786"/>
            <wp:effectExtent b="0" l="0" r="0" t="0"/>
            <wp:docPr descr="http://d2vlcm61l7u1fs.cloudfront.net/media%2Fd4b%2Fd4be855a-79a3-4c1f-bfdc-d718d2a4c14a%2FphpCTkcZN.png" id="3" name="image09.png"/>
            <a:graphic>
              <a:graphicData uri="http://schemas.openxmlformats.org/drawingml/2006/picture">
                <pic:pic>
                  <pic:nvPicPr>
                    <pic:cNvPr descr="http://d2vlcm61l7u1fs.cloudfront.net/media%2Fd4b%2Fd4be855a-79a3-4c1f-bfdc-d718d2a4c14a%2FphpCTkcZN.png" id="0" name="image0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087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4795440" cy="5395913"/>
            <wp:effectExtent b="0" l="0" r="0" t="0"/>
            <wp:docPr descr="http://www.highlands.edu/academics/divisions/scipe/biology/faculty/harnden/2121/images/actionpotent2.jpg" id="7" name="image13.jpg"/>
            <a:graphic>
              <a:graphicData uri="http://schemas.openxmlformats.org/drawingml/2006/picture">
                <pic:pic>
                  <pic:nvPicPr>
                    <pic:cNvPr descr="http://www.highlands.edu/academics/divisions/scipe/biology/faculty/harnden/2121/images/actionpotent2.jpg" id="0" name="image1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440" cy="5395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5138738" cy="4068167"/>
            <wp:effectExtent b="0" l="0" r="0" t="0"/>
            <wp:docPr descr="http://cliparts.co/cliparts/di9/XjM/di9XjMdpT.png" id="2" name="image08.png"/>
            <a:graphic>
              <a:graphicData uri="http://schemas.openxmlformats.org/drawingml/2006/picture">
                <pic:pic>
                  <pic:nvPicPr>
                    <pic:cNvPr descr="http://cliparts.co/cliparts/di9/XjM/di9XjMdpT.png" id="0" name="image0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8738" cy="4068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Label sulci, gyri, frontal lobe, parietal lobe, temporal lobe, occipital lobe, cerebellum, brain stem, central fissure/sulcus, and lateral fissure/sulcus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114800" cy="3690938"/>
            <wp:effectExtent b="0" l="0" r="0" t="0"/>
            <wp:docPr descr="http://www.neurosurgerypa.com/anatomy/anat_br_nerves.jpg" id="4" name="image10.jpg"/>
            <a:graphic>
              <a:graphicData uri="http://schemas.openxmlformats.org/drawingml/2006/picture">
                <pic:pic>
                  <pic:nvPicPr>
                    <pic:cNvPr descr="http://www.neurosurgerypa.com/anatomy/anat_br_nerves.jpg" id="0" name="image10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90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Cranial Nerve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Origin/Course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rtl w:val="0"/>
              </w:rPr>
              <w:t xml:space="preserve">Function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spacing w:after="0" w:before="0" w:line="240" w:lineRule="auto"/>
              <w:ind w:left="255" w:right="0" w:hanging="90"/>
              <w:contextualSpacing w:val="1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Olfactory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II. Optic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III. Oculomotor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IV. Trochlear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V. Trigeminal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VI. Abducens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VII. Facial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VIII. Vestibulocochlear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IX. Glossopharyngeal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X. Vagus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XI. Accessory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XII. Hypoglossal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upperRoman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firstLine="252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firstLine="39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firstLine="468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image" Target="media/image10.jpg"/><Relationship Id="rId10" Type="http://schemas.openxmlformats.org/officeDocument/2006/relationships/image" Target="media/image08.png"/><Relationship Id="rId9" Type="http://schemas.openxmlformats.org/officeDocument/2006/relationships/image" Target="media/image13.jpg"/><Relationship Id="rId5" Type="http://schemas.openxmlformats.org/officeDocument/2006/relationships/image" Target="media/image12.png"/><Relationship Id="rId6" Type="http://schemas.openxmlformats.org/officeDocument/2006/relationships/image" Target="media/image01.jpg"/><Relationship Id="rId7" Type="http://schemas.openxmlformats.org/officeDocument/2006/relationships/image" Target="media/image11.png"/><Relationship Id="rId8" Type="http://schemas.openxmlformats.org/officeDocument/2006/relationships/image" Target="media/image09.png"/></Relationships>
</file>